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A648" w14:textId="40003246" w:rsidR="0086052E" w:rsidRDefault="008536A4" w:rsidP="00B97B79">
      <w:pPr>
        <w:pStyle w:val="Heading1"/>
      </w:pPr>
      <w:r>
        <w:t>24-28 AEFLA Demonstrated Effectiveness</w:t>
      </w:r>
    </w:p>
    <w:p w14:paraId="62310254" w14:textId="1A3E4CFD" w:rsidR="00D167BF" w:rsidRPr="00D167BF" w:rsidRDefault="008536A4" w:rsidP="00D167BF">
      <w:pPr>
        <w:pStyle w:val="Heading2"/>
      </w:pPr>
      <w:r>
        <w:t>Recording Transcript</w:t>
      </w:r>
    </w:p>
    <w:p w14:paraId="0D333932" w14:textId="0D26AD85" w:rsidR="00D167BF" w:rsidRDefault="004E244C" w:rsidP="00D167BF">
      <w:pPr>
        <w:pStyle w:val="Heading3"/>
      </w:pPr>
      <w:r>
        <w:t>Introduction (</w:t>
      </w:r>
      <w:r w:rsidR="00FD703F">
        <w:t>0:01 to 0:25</w:t>
      </w:r>
      <w:r>
        <w:t>)</w:t>
      </w:r>
    </w:p>
    <w:p w14:paraId="18789676" w14:textId="1E705200" w:rsidR="008536A4" w:rsidRDefault="008536A4" w:rsidP="008536A4">
      <w:pPr>
        <w:pStyle w:val="Text"/>
      </w:pPr>
      <w:bookmarkStart w:id="0" w:name="_Hlk160546919"/>
      <w:r>
        <w:t xml:space="preserve">AEI </w:t>
      </w:r>
      <w:r w:rsidRPr="00F0340A">
        <w:t>has received several questions about the demonstrated effectiveness application. The answers have been posted in the 2024</w:t>
      </w:r>
      <w:r w:rsidR="00AF1D70">
        <w:t xml:space="preserve"> through </w:t>
      </w:r>
      <w:r w:rsidRPr="00F0340A">
        <w:t>28 AEFLA Application Q&amp;A and are also available in the RFA Planning Document. AEI wishes to provide additional clarification of this information.</w:t>
      </w:r>
    </w:p>
    <w:bookmarkEnd w:id="0"/>
    <w:p w14:paraId="4B4B2F87" w14:textId="0C775345" w:rsidR="00D41CDA" w:rsidRDefault="004E244C" w:rsidP="00D41CDA">
      <w:pPr>
        <w:pStyle w:val="Heading3"/>
      </w:pPr>
      <w:r>
        <w:t>Demonstrated Effectiveness Application in CDE’s GAINS Site (</w:t>
      </w:r>
      <w:r w:rsidR="00AF1D70">
        <w:t>00:2</w:t>
      </w:r>
      <w:r w:rsidR="00FD703F">
        <w:t>6</w:t>
      </w:r>
      <w:r w:rsidR="00AF1D70">
        <w:t xml:space="preserve"> </w:t>
      </w:r>
      <w:r w:rsidR="00FD703F">
        <w:t>to</w:t>
      </w:r>
      <w:r w:rsidR="00AF1D70">
        <w:t xml:space="preserve"> 1:</w:t>
      </w:r>
      <w:r w:rsidR="00FD703F">
        <w:t>10</w:t>
      </w:r>
      <w:r>
        <w:t>)</w:t>
      </w:r>
    </w:p>
    <w:p w14:paraId="11998A87" w14:textId="1546C882" w:rsidR="008536A4" w:rsidRDefault="008536A4" w:rsidP="008536A4">
      <w:pPr>
        <w:pStyle w:val="Text"/>
      </w:pPr>
      <w:r w:rsidRPr="00F0340A">
        <w:t>Here are some key points AEI wants to emphasize.</w:t>
      </w:r>
      <w:r w:rsidR="00AF1D70">
        <w:t xml:space="preserve"> First, d</w:t>
      </w:r>
      <w:r w:rsidRPr="00F0340A">
        <w:t>emonstrating effectiveness is based on</w:t>
      </w:r>
      <w:r w:rsidR="00AF1D70">
        <w:t xml:space="preserve"> the applicant’s performance outcomes from prior years and the number of services an applicant is applying to provide. </w:t>
      </w:r>
    </w:p>
    <w:p w14:paraId="6DE426A9" w14:textId="39C0ACC4" w:rsidR="00AF1D70" w:rsidRPr="00F0340A" w:rsidRDefault="00AF1D70" w:rsidP="008536A4">
      <w:pPr>
        <w:pStyle w:val="Text"/>
      </w:pPr>
      <w:r>
        <w:t xml:space="preserve">In response to the question, “Where can I find my demonstrated effectiveness data?” current AEFLA grantees will submit the data indicated in Appendix H of the RFA and non-current AEFLA grantees will use comparable data that is available to them. </w:t>
      </w:r>
    </w:p>
    <w:p w14:paraId="4A64170A" w14:textId="230A3343" w:rsidR="008536A4" w:rsidRDefault="008536A4" w:rsidP="008536A4">
      <w:pPr>
        <w:pStyle w:val="Text"/>
      </w:pPr>
      <w:r w:rsidRPr="00F0340A">
        <w:t xml:space="preserve">Finally, remember to check the AEFLA </w:t>
      </w:r>
      <w:r w:rsidR="00AF1D70">
        <w:t>A</w:t>
      </w:r>
      <w:r w:rsidRPr="00F0340A">
        <w:t xml:space="preserve">pplication Q&amp;A for details not covered in this recording. </w:t>
      </w:r>
    </w:p>
    <w:p w14:paraId="11FCFBEB" w14:textId="10AD9D71" w:rsidR="008536A4" w:rsidRDefault="0086048A" w:rsidP="008536A4">
      <w:pPr>
        <w:pStyle w:val="Heading3"/>
      </w:pPr>
      <w:r w:rsidRPr="0086048A">
        <w:t>Demonstrated Effectiveness Scoring (Rubric on p. 20 of RFA)</w:t>
      </w:r>
      <w:r>
        <w:t xml:space="preserve"> (</w:t>
      </w:r>
      <w:r w:rsidR="007F37E8">
        <w:t>1:</w:t>
      </w:r>
      <w:r w:rsidR="00FD703F">
        <w:t>11 to 2:44</w:t>
      </w:r>
      <w:r>
        <w:t>)</w:t>
      </w:r>
    </w:p>
    <w:p w14:paraId="29F26919" w14:textId="18EB652C" w:rsidR="007F37E8" w:rsidRPr="007F37E8" w:rsidRDefault="007F37E8" w:rsidP="007F37E8">
      <w:pPr>
        <w:pStyle w:val="Text"/>
      </w:pPr>
      <w:r w:rsidRPr="007F37E8">
        <w:t xml:space="preserve">Demonstrated Effectiveness scoring. </w:t>
      </w:r>
      <w:r w:rsidR="008536A4" w:rsidRPr="007F37E8">
        <w:t xml:space="preserve">Demonstrated Effectiveness scoring is outlined in </w:t>
      </w:r>
      <w:r w:rsidRPr="007F37E8">
        <w:t>detail in a</w:t>
      </w:r>
      <w:r w:rsidR="008536A4" w:rsidRPr="007F37E8">
        <w:t xml:space="preserve"> rubric on page 20 of the RFA. The rubric is also available in GAINS. </w:t>
      </w:r>
      <w:r w:rsidRPr="007F37E8">
        <w:t xml:space="preserve">Applicants must score a minimum points threshold of overall demonstrated effectiveness to move forward with the Narrative Application. </w:t>
      </w:r>
      <w:r>
        <w:t xml:space="preserve">It should be noted that points are awarded on a scale of 0 to 2 </w:t>
      </w:r>
      <w:r w:rsidRPr="007F37E8">
        <w:t>depending on where the applicant’s three-year average falls in comparison to the three-year statewide average.</w:t>
      </w:r>
    </w:p>
    <w:p w14:paraId="37AC4096" w14:textId="77777777" w:rsidR="007F37E8" w:rsidRPr="007F37E8" w:rsidRDefault="007F37E8" w:rsidP="00FD703F">
      <w:pPr>
        <w:pStyle w:val="Text"/>
      </w:pPr>
      <w:r w:rsidRPr="00FD703F">
        <w:t>The points threshold varies, increasing as the number of services the applicant applies for increases.</w:t>
      </w:r>
    </w:p>
    <w:p w14:paraId="0FCC1AE5" w14:textId="77777777" w:rsidR="007F37E8" w:rsidRPr="007F37E8" w:rsidRDefault="007F37E8" w:rsidP="00FD703F">
      <w:pPr>
        <w:pStyle w:val="Text"/>
      </w:pPr>
      <w:r w:rsidRPr="00FD703F">
        <w:t xml:space="preserve">Applicants who do not meet the demonstrated effectiveness threshold for a service they wish to apply for are strongly encouraged to complete Question 6 of the Demonstrated Effectiveness application. </w:t>
      </w:r>
    </w:p>
    <w:p w14:paraId="7330B8C5" w14:textId="2698F190" w:rsidR="008536A4" w:rsidRPr="00F0340A" w:rsidRDefault="007F37E8" w:rsidP="00FD703F">
      <w:pPr>
        <w:pStyle w:val="Text"/>
      </w:pPr>
      <w:r w:rsidRPr="00FD703F">
        <w:t xml:space="preserve">And before completing the demonstrated effectiveness application, applicants are also advised to also review Section B of the RFA as well as the information located in Section A which is p. 30 as this information outlines the threshold </w:t>
      </w:r>
      <w:r w:rsidRPr="007F37E8">
        <w:t>levels to apply for optional services in the full narrative</w:t>
      </w:r>
      <w:r>
        <w:t xml:space="preserve"> application</w:t>
      </w:r>
      <w:r w:rsidRPr="007F37E8">
        <w:t xml:space="preserve">. These </w:t>
      </w:r>
      <w:r>
        <w:t xml:space="preserve">thresholds </w:t>
      </w:r>
      <w:r w:rsidRPr="007F37E8">
        <w:t xml:space="preserve">are separate from and higher than the </w:t>
      </w:r>
      <w:r>
        <w:t xml:space="preserve">requirements in the </w:t>
      </w:r>
      <w:r w:rsidRPr="007F37E8">
        <w:t>Demonstrated Effectiveness application.</w:t>
      </w:r>
    </w:p>
    <w:p w14:paraId="05112616" w14:textId="05A12ABC" w:rsidR="008536A4" w:rsidRDefault="0086048A" w:rsidP="008536A4">
      <w:pPr>
        <w:pStyle w:val="Heading3"/>
      </w:pPr>
      <w:r>
        <w:t>Demonstrated Effectiveness and the Narrative Application (</w:t>
      </w:r>
      <w:r w:rsidR="00FD703F">
        <w:t>2:45 to 4:15</w:t>
      </w:r>
      <w:r>
        <w:t>)</w:t>
      </w:r>
    </w:p>
    <w:p w14:paraId="3E2451A3" w14:textId="5E1F8AEC" w:rsidR="008536A4" w:rsidRPr="00F0340A" w:rsidRDefault="008536A4" w:rsidP="008536A4">
      <w:pPr>
        <w:pStyle w:val="Text"/>
      </w:pPr>
      <w:r w:rsidRPr="00F0340A">
        <w:t>As mentioned, another consideration when completing the Demonstrated Effectiveness application is how an applicant’s three-year average will impact their ability to provide one or more of the optional services in the Narrative Application. As you can see, the narrative application sets thresholds for demonstrated effectiveness that are different from and higher than the thresholds in the demonstrated effectiveness application. This applies</w:t>
      </w:r>
      <w:r w:rsidR="007F37E8">
        <w:t xml:space="preserve"> specifically</w:t>
      </w:r>
      <w:r w:rsidRPr="00F0340A">
        <w:t xml:space="preserve"> to the optional services outlined in Section B of the RFA and on this slide. </w:t>
      </w:r>
      <w:r w:rsidR="007F37E8">
        <w:t xml:space="preserve">For example, </w:t>
      </w:r>
      <w:r w:rsidRPr="00F0340A">
        <w:t xml:space="preserve">to apply for Integrated English Literacy and Civics Education or IELCE funding with Section 243 funds, an applicant must demonstrate that they met a 50% or higher threshold in their IELCE IET data. </w:t>
      </w:r>
    </w:p>
    <w:p w14:paraId="125CA585" w14:textId="435E50A1" w:rsidR="008536A4" w:rsidRPr="00F0340A" w:rsidRDefault="008536A4" w:rsidP="008536A4">
      <w:pPr>
        <w:pStyle w:val="Text"/>
      </w:pPr>
      <w:r w:rsidRPr="00F0340A">
        <w:lastRenderedPageBreak/>
        <w:t>For AEFLA Integrated Education and Training, an applicant must meet the 50% threshold</w:t>
      </w:r>
      <w:r w:rsidR="007F37E8">
        <w:t xml:space="preserve"> to apply to provide that service</w:t>
      </w:r>
      <w:r w:rsidRPr="00F0340A">
        <w:t xml:space="preserve">. For Corrections Education the threshold is 35%. </w:t>
      </w:r>
      <w:r w:rsidR="007F37E8">
        <w:t>And t</w:t>
      </w:r>
      <w:r w:rsidRPr="00F0340A">
        <w:t xml:space="preserve">he threshold to apply for Family Literacy is 40% or higher. If an applicant did not meet those thresholds with their three-year average, they cannot apply to provide those services in year one of the grant. </w:t>
      </w:r>
    </w:p>
    <w:p w14:paraId="1D1EF8FE" w14:textId="28727C7C" w:rsidR="008536A4" w:rsidRDefault="00FA2480" w:rsidP="008536A4">
      <w:pPr>
        <w:pStyle w:val="Heading3"/>
      </w:pPr>
      <w:r>
        <w:t>Demonstrated Effectiveness Points Threshold (</w:t>
      </w:r>
      <w:r w:rsidR="00FD703F">
        <w:t>4:16 to</w:t>
      </w:r>
      <w:r w:rsidR="00C627F0">
        <w:t xml:space="preserve"> 5:30</w:t>
      </w:r>
      <w:r>
        <w:t>)</w:t>
      </w:r>
    </w:p>
    <w:p w14:paraId="1853AFA3" w14:textId="77777777" w:rsidR="0004259E" w:rsidRDefault="007F37E8" w:rsidP="008536A4">
      <w:pPr>
        <w:pStyle w:val="Text"/>
      </w:pPr>
      <w:r>
        <w:t xml:space="preserve">On this slide you’ll see an outline of the </w:t>
      </w:r>
      <w:r w:rsidR="008536A4" w:rsidRPr="00F0340A">
        <w:t>of the Demonstrated effectiveness points threshold by service type</w:t>
      </w:r>
      <w:r>
        <w:t xml:space="preserve"> provided. This comes directly from the Demonstrated Effectiveness Scoring Rubric</w:t>
      </w:r>
      <w:r w:rsidR="008536A4" w:rsidRPr="00F0340A">
        <w:t xml:space="preserve">. If an applicant applies to provide </w:t>
      </w:r>
      <w:r>
        <w:t>one</w:t>
      </w:r>
      <w:r w:rsidR="008536A4" w:rsidRPr="00F0340A">
        <w:t xml:space="preserve"> service type, </w:t>
      </w:r>
      <w:r>
        <w:t xml:space="preserve">for example Adult Basic Education, their </w:t>
      </w:r>
      <w:r w:rsidR="008536A4" w:rsidRPr="00F0340A">
        <w:t xml:space="preserve">minimum points threshold </w:t>
      </w:r>
      <w:r>
        <w:t xml:space="preserve">on the Demonstrated Effectiveness application </w:t>
      </w:r>
      <w:r w:rsidR="008536A4" w:rsidRPr="00F0340A">
        <w:t xml:space="preserve">is 5 points. If the applicant chooses to apply for </w:t>
      </w:r>
      <w:r>
        <w:t>two</w:t>
      </w:r>
      <w:r w:rsidR="008536A4" w:rsidRPr="00F0340A">
        <w:t xml:space="preserve"> service types, for example </w:t>
      </w:r>
      <w:r>
        <w:t xml:space="preserve">Adult Basic Education and </w:t>
      </w:r>
      <w:r w:rsidR="008536A4" w:rsidRPr="00F0340A">
        <w:t>English Language Acquisitio</w:t>
      </w:r>
      <w:r>
        <w:t>n</w:t>
      </w:r>
      <w:r w:rsidR="008536A4" w:rsidRPr="00F0340A">
        <w:t xml:space="preserve">, </w:t>
      </w:r>
      <w:r>
        <w:t xml:space="preserve">the minimum points threshold also </w:t>
      </w:r>
      <w:r w:rsidR="0004259E">
        <w:t>increases</w:t>
      </w:r>
      <w:r>
        <w:t>.</w:t>
      </w:r>
      <w:r w:rsidR="0004259E">
        <w:t xml:space="preserve"> It is now six points. So as you can see, </w:t>
      </w:r>
      <w:r w:rsidR="008536A4" w:rsidRPr="00F0340A">
        <w:t xml:space="preserve">as the number of service types increases, so does the minimum points threshold. </w:t>
      </w:r>
      <w:r w:rsidR="0004259E">
        <w:t>For three service types, the threshold is seven points minimum. For four service types, eight points minimum. Five service types, nine points minimum. Six service points, ten points minimum. Seven service types, eleven points minimum. Eight service types, twelve points minimum. Nine service types, thirteen points minimum.</w:t>
      </w:r>
    </w:p>
    <w:p w14:paraId="2D23E452" w14:textId="43FD9C13" w:rsidR="008536A4" w:rsidRDefault="00FA2480" w:rsidP="00FD703F">
      <w:pPr>
        <w:pStyle w:val="Heading3"/>
      </w:pPr>
      <w:r>
        <w:t>Example Applicant and Demonstrated Effectiveness Scoring (</w:t>
      </w:r>
      <w:r w:rsidR="00C627F0">
        <w:t>5:35 to 9:13</w:t>
      </w:r>
      <w:r>
        <w:t>)</w:t>
      </w:r>
    </w:p>
    <w:p w14:paraId="3CFA78FE" w14:textId="4B04DEA4" w:rsidR="0004259E" w:rsidRDefault="008536A4" w:rsidP="008536A4">
      <w:pPr>
        <w:pStyle w:val="Text"/>
      </w:pPr>
      <w:r w:rsidRPr="00F0340A">
        <w:t xml:space="preserve">Here is an example </w:t>
      </w:r>
      <w:r w:rsidR="0004259E">
        <w:t>of an applicant’s demonstrated effectiveness scoring</w:t>
      </w:r>
      <w:r w:rsidRPr="00F0340A">
        <w:t xml:space="preserve">. </w:t>
      </w:r>
      <w:r w:rsidR="0004259E">
        <w:t xml:space="preserve">As you can see, </w:t>
      </w:r>
      <w:r w:rsidRPr="00F0340A">
        <w:t xml:space="preserve">Applicant A is applying to provide 5 service types. Their demonstrated effectiveness application must include data for each </w:t>
      </w:r>
      <w:r w:rsidR="0004259E">
        <w:t>of those five areas</w:t>
      </w:r>
      <w:r w:rsidRPr="00F0340A">
        <w:t xml:space="preserve">. An applicant applying for </w:t>
      </w:r>
      <w:r w:rsidR="0004259E">
        <w:t>five</w:t>
      </w:r>
      <w:r w:rsidRPr="00F0340A">
        <w:t xml:space="preserve"> service areas needs to score a minimum of </w:t>
      </w:r>
      <w:r w:rsidR="0004259E">
        <w:t>eight</w:t>
      </w:r>
      <w:r w:rsidRPr="00F0340A">
        <w:t xml:space="preserve"> points. You can see from the table that the applicant scored a total of </w:t>
      </w:r>
      <w:r w:rsidR="0004259E">
        <w:t>seven</w:t>
      </w:r>
      <w:r w:rsidRPr="00F0340A">
        <w:t xml:space="preserve"> points</w:t>
      </w:r>
      <w:r w:rsidR="0004259E">
        <w:t>, which is not enough to demonstrate effectiveness. The applicant scored</w:t>
      </w:r>
      <w:r w:rsidRPr="00F0340A">
        <w:t xml:space="preserve"> </w:t>
      </w:r>
      <w:r w:rsidR="0004259E">
        <w:t>two points</w:t>
      </w:r>
      <w:r w:rsidRPr="00F0340A">
        <w:t xml:space="preserve"> for ABE</w:t>
      </w:r>
      <w:r w:rsidR="0004259E">
        <w:t>, Adult Basic Education; one point</w:t>
      </w:r>
      <w:r w:rsidRPr="00F0340A">
        <w:t xml:space="preserve"> for ASE, </w:t>
      </w:r>
      <w:r w:rsidR="0004259E">
        <w:t>Adult Secondary Education; one point</w:t>
      </w:r>
      <w:r w:rsidRPr="00F0340A">
        <w:t xml:space="preserve"> for ELA,</w:t>
      </w:r>
      <w:r w:rsidR="0004259E">
        <w:t xml:space="preserve"> English Language Acquisition; </w:t>
      </w:r>
      <w:r w:rsidRPr="00F0340A">
        <w:t xml:space="preserve">zero </w:t>
      </w:r>
      <w:r w:rsidR="0004259E">
        <w:t xml:space="preserve">points </w:t>
      </w:r>
      <w:r w:rsidRPr="00F0340A">
        <w:t xml:space="preserve">for IELCE, </w:t>
      </w:r>
      <w:r w:rsidR="0004259E">
        <w:t xml:space="preserve">Integrated English Literacy and Civics Education; </w:t>
      </w:r>
      <w:r w:rsidRPr="00F0340A">
        <w:t xml:space="preserve">and zero </w:t>
      </w:r>
      <w:r w:rsidR="0004259E">
        <w:t xml:space="preserve">points </w:t>
      </w:r>
      <w:r w:rsidRPr="00F0340A">
        <w:t xml:space="preserve">for IELCE IET. </w:t>
      </w:r>
      <w:r w:rsidR="0004259E">
        <w:t xml:space="preserve">That’s Integrated Education and Training. </w:t>
      </w:r>
      <w:r w:rsidRPr="00F0340A">
        <w:t xml:space="preserve">For </w:t>
      </w:r>
      <w:r w:rsidR="0004259E">
        <w:t>this applicant’s</w:t>
      </w:r>
      <w:r w:rsidRPr="00F0340A">
        <w:t xml:space="preserve"> employment and credential data, the applicant scored </w:t>
      </w:r>
      <w:r w:rsidR="0004259E">
        <w:t>one</w:t>
      </w:r>
      <w:r w:rsidRPr="00F0340A">
        <w:t xml:space="preserve"> point for Q2 employment, </w:t>
      </w:r>
      <w:r w:rsidR="0004259E">
        <w:t>one</w:t>
      </w:r>
      <w:r w:rsidRPr="00F0340A">
        <w:t xml:space="preserve"> point for Q2 median income, zero points for Q4 employment, and </w:t>
      </w:r>
      <w:r w:rsidR="0004259E">
        <w:t>one</w:t>
      </w:r>
      <w:r w:rsidRPr="00F0340A">
        <w:t xml:space="preserve"> point for credential attainment. </w:t>
      </w:r>
      <w:r w:rsidR="0004259E">
        <w:t xml:space="preserve">In the demonstrated effectiveness there is also an optional question, question six, which allows an applicant to provide justification for their demonstrated effectiveness scores that were below the state average and did not meet the threshold. On this particular question, the applicant did not receive any points because their response lacked detail and was not clear enough. </w:t>
      </w:r>
      <w:r w:rsidRPr="00F0340A">
        <w:t xml:space="preserve">This means that the application submitted through GAINS does not demonstrate effectiveness. </w:t>
      </w:r>
      <w:r w:rsidR="0004259E">
        <w:t>Again, for five services a minimum of eight points is needed but only seven points were received.</w:t>
      </w:r>
    </w:p>
    <w:p w14:paraId="3075E3A4" w14:textId="1EC3FB20" w:rsidR="008536A4" w:rsidRPr="00F0340A" w:rsidRDefault="008536A4" w:rsidP="008536A4">
      <w:pPr>
        <w:pStyle w:val="Text"/>
      </w:pPr>
      <w:r w:rsidRPr="00F0340A">
        <w:t xml:space="preserve">In this situation, </w:t>
      </w:r>
      <w:r w:rsidR="0004259E">
        <w:t xml:space="preserve">there are a few </w:t>
      </w:r>
      <w:r w:rsidRPr="00F0340A">
        <w:t>suggestion</w:t>
      </w:r>
      <w:r w:rsidR="0004259E">
        <w:t xml:space="preserve">s for the applicant. For example, </w:t>
      </w:r>
      <w:r w:rsidRPr="00F0340A">
        <w:t xml:space="preserve">Applicant </w:t>
      </w:r>
      <w:r w:rsidR="0004259E">
        <w:t>A may wish to</w:t>
      </w:r>
      <w:r w:rsidRPr="00F0340A">
        <w:t xml:space="preserve"> decrease the number of services they are applying for </w:t>
      </w:r>
      <w:r w:rsidR="0004259E">
        <w:t>b</w:t>
      </w:r>
      <w:r w:rsidRPr="00F0340A">
        <w:t xml:space="preserve">y eliminating one or more services, especially optional services, the applicant </w:t>
      </w:r>
      <w:r w:rsidR="00562C9C">
        <w:t xml:space="preserve">may </w:t>
      </w:r>
      <w:r w:rsidR="0004259E">
        <w:t>be able</w:t>
      </w:r>
      <w:r w:rsidRPr="00F0340A">
        <w:t xml:space="preserve"> to demonstrate effectiveness </w:t>
      </w:r>
      <w:r w:rsidR="0004259E">
        <w:t xml:space="preserve">because the points threshold will be lower. That will give them an opportunity potentially to move on to the narrative application. </w:t>
      </w:r>
      <w:r w:rsidRPr="00F0340A">
        <w:t xml:space="preserve">It’s also important to note in this </w:t>
      </w:r>
      <w:r w:rsidR="0004259E">
        <w:t xml:space="preserve">particular </w:t>
      </w:r>
      <w:r w:rsidRPr="00F0340A">
        <w:t xml:space="preserve">example that the threshold </w:t>
      </w:r>
      <w:r w:rsidR="00D27ABA">
        <w:t>top apply</w:t>
      </w:r>
      <w:r w:rsidRPr="00F0340A">
        <w:t xml:space="preserve"> to provide a service like IELCE is dependent on the three-year average of the applicant’s IELCE IET. </w:t>
      </w:r>
      <w:r w:rsidR="00D27ABA">
        <w:t xml:space="preserve">In this example the IELCE IET three-year average was 10% but the narrative application </w:t>
      </w:r>
      <w:r w:rsidRPr="00F0340A">
        <w:t xml:space="preserve">sets a threshold of 50% or higher </w:t>
      </w:r>
      <w:r w:rsidR="00D27ABA">
        <w:t>in order for an</w:t>
      </w:r>
      <w:r w:rsidRPr="00F0340A">
        <w:t xml:space="preserve"> applicant to apply for this service in the </w:t>
      </w:r>
      <w:r w:rsidR="00D27ABA">
        <w:t>narrative portion</w:t>
      </w:r>
      <w:r w:rsidRPr="00F0340A">
        <w:t xml:space="preserve">. Since Applicant A did not meet 50%, </w:t>
      </w:r>
      <w:r w:rsidR="00D27ABA">
        <w:t>they</w:t>
      </w:r>
      <w:r w:rsidRPr="00F0340A">
        <w:t xml:space="preserve"> cannot apply to provide </w:t>
      </w:r>
      <w:r w:rsidR="00D27ABA">
        <w:t>IELCE.</w:t>
      </w:r>
      <w:r w:rsidRPr="00F0340A">
        <w:t xml:space="preserve"> </w:t>
      </w:r>
      <w:r w:rsidR="00D27ABA">
        <w:t>T</w:t>
      </w:r>
      <w:r w:rsidRPr="00F0340A">
        <w:t>hey must remove IELCE services</w:t>
      </w:r>
      <w:r w:rsidR="00D27ABA">
        <w:t xml:space="preserve"> from their demonstrated effectiveness application in order to prove demonstrated effectiveness and move on to the narrative application. Changing this number of services will decrease to three and the number of required points will be seven, which the grantee then would meet. </w:t>
      </w:r>
      <w:r w:rsidRPr="00F0340A">
        <w:t xml:space="preserve"> </w:t>
      </w:r>
    </w:p>
    <w:p w14:paraId="512F1949" w14:textId="1BFF2A4C" w:rsidR="008536A4" w:rsidRDefault="00CA0517" w:rsidP="008536A4">
      <w:pPr>
        <w:pStyle w:val="Heading3"/>
      </w:pPr>
      <w:r>
        <w:t>Demonstrated Effectiveness Scoring Workflow (</w:t>
      </w:r>
      <w:r w:rsidR="00C627F0">
        <w:t>9:14 to 10:54</w:t>
      </w:r>
      <w:r>
        <w:t>)</w:t>
      </w:r>
    </w:p>
    <w:p w14:paraId="5A2E2A8F" w14:textId="49D86BAA" w:rsidR="008536A4" w:rsidRDefault="00D27ABA" w:rsidP="008536A4">
      <w:pPr>
        <w:pStyle w:val="Text"/>
      </w:pPr>
      <w:r>
        <w:t>What is the d</w:t>
      </w:r>
      <w:r w:rsidR="008536A4" w:rsidRPr="00F0340A">
        <w:t xml:space="preserve">emonstrated </w:t>
      </w:r>
      <w:r>
        <w:t>e</w:t>
      </w:r>
      <w:r w:rsidR="008536A4" w:rsidRPr="00F0340A">
        <w:t xml:space="preserve">ffectiveness </w:t>
      </w:r>
      <w:r>
        <w:t>scoring workflow? Demonstrated effectiveness applications</w:t>
      </w:r>
      <w:r w:rsidR="008536A4" w:rsidRPr="00F0340A">
        <w:t xml:space="preserve"> </w:t>
      </w:r>
      <w:r>
        <w:t>will be</w:t>
      </w:r>
      <w:r w:rsidR="008536A4" w:rsidRPr="00F0340A">
        <w:t xml:space="preserve"> scored on a rolling basis</w:t>
      </w:r>
      <w:r>
        <w:t xml:space="preserve"> as they’re submitted</w:t>
      </w:r>
      <w:r w:rsidR="008536A4" w:rsidRPr="00F0340A">
        <w:t xml:space="preserve">, so the sooner this part is </w:t>
      </w:r>
      <w:r>
        <w:t>completed</w:t>
      </w:r>
      <w:r w:rsidR="008536A4" w:rsidRPr="00F0340A">
        <w:t xml:space="preserve">, the sooner the applicant will know if they are </w:t>
      </w:r>
      <w:r w:rsidR="008536A4" w:rsidRPr="00F0340A">
        <w:lastRenderedPageBreak/>
        <w:t>eligible to complete the Narrative Application. </w:t>
      </w:r>
      <w:r>
        <w:t>However, once an application has its status updated to “Draft completed,” AEI will review the data and provide feedback.</w:t>
      </w:r>
    </w:p>
    <w:p w14:paraId="3EE56DE9" w14:textId="477446A4" w:rsidR="00D27ABA" w:rsidRDefault="00D27ABA" w:rsidP="008536A4">
      <w:pPr>
        <w:pStyle w:val="Text"/>
      </w:pPr>
      <w:r>
        <w:t xml:space="preserve">An important note is that you should maintain communication with your LEA Authorized Fiscal Representative and your LEA Authorized Representative to ensure the application moves from “Draft completed” to “Approved” by each of those individuals. Once the LEA Authorized Representative changes the status to Approved or Return that is a signal that the draft is final, that the application has been submitted and its ready for scoring. </w:t>
      </w:r>
    </w:p>
    <w:p w14:paraId="0B08B834" w14:textId="1584BB2E" w:rsidR="00D27ABA" w:rsidRPr="00F0340A" w:rsidRDefault="00D27ABA" w:rsidP="008536A4">
      <w:pPr>
        <w:pStyle w:val="Text"/>
      </w:pPr>
      <w:r>
        <w:t>Please note the workflow at the bottom. When you log into GAINS to complete demonstrated effectiveness, you’ll need to change the application status from “Not started” to “Draft started.” Once the draft is ready for review you would change it to “Draft completed” at that point the LEA Fiscal Representative receives notice from you ideally that they should approve or return the application</w:t>
      </w:r>
      <w:r w:rsidR="00FD703F">
        <w:t>.</w:t>
      </w:r>
      <w:r>
        <w:t xml:space="preserve"> </w:t>
      </w:r>
      <w:r w:rsidR="00FD703F">
        <w:t xml:space="preserve">And then once the Fiscal Representative approves the application it moves to the final approval step which is LEA Authorized Representative. </w:t>
      </w:r>
    </w:p>
    <w:p w14:paraId="65BE8CD8" w14:textId="70928AA4" w:rsidR="008536A4" w:rsidRDefault="00CA0517" w:rsidP="008536A4">
      <w:pPr>
        <w:pStyle w:val="Heading3"/>
      </w:pPr>
      <w:r>
        <w:t>Resources and Technical Assistance (</w:t>
      </w:r>
      <w:r w:rsidR="00C627F0">
        <w:t>10:55 to 11:22</w:t>
      </w:r>
      <w:r>
        <w:t>)</w:t>
      </w:r>
    </w:p>
    <w:p w14:paraId="5081A304" w14:textId="77A93EC6" w:rsidR="008536A4" w:rsidRDefault="00FD703F" w:rsidP="008536A4">
      <w:pPr>
        <w:pStyle w:val="Text"/>
      </w:pPr>
      <w:r>
        <w:t xml:space="preserve">As a reminder, all AEFLA resources and materials related to the RFA can be found on the </w:t>
      </w:r>
      <w:hyperlink r:id="rId11" w:history="1">
        <w:r w:rsidRPr="00B123F2">
          <w:rPr>
            <w:rStyle w:val="Hyperlink"/>
          </w:rPr>
          <w:t>Prospective Grantees website</w:t>
        </w:r>
      </w:hyperlink>
      <w:r>
        <w:t xml:space="preserve">. </w:t>
      </w:r>
    </w:p>
    <w:p w14:paraId="734FF353" w14:textId="75B69FC0" w:rsidR="00FD703F" w:rsidRPr="008536A4" w:rsidRDefault="00FD703F" w:rsidP="008536A4">
      <w:pPr>
        <w:pStyle w:val="Text"/>
      </w:pPr>
      <w:r>
        <w:t xml:space="preserve">Interested applicants should read through the materials thoroughly before applying for funds. An </w:t>
      </w:r>
      <w:hyperlink r:id="rId12" w:history="1">
        <w:r w:rsidRPr="00B123F2">
          <w:rPr>
            <w:rStyle w:val="Hyperlink"/>
          </w:rPr>
          <w:t>online grant application FAQ</w:t>
        </w:r>
      </w:hyperlink>
      <w:r>
        <w:t xml:space="preserve"> is also available where you can submit questions about </w:t>
      </w:r>
      <w:r w:rsidR="00C627F0">
        <w:t>t</w:t>
      </w:r>
      <w:r>
        <w:t>he AEFLA RFA and review responses to questions that have been asked.</w:t>
      </w:r>
    </w:p>
    <w:sectPr w:rsidR="00FD703F" w:rsidRPr="008536A4" w:rsidSect="005F41EA">
      <w:headerReference w:type="default" r:id="rId13"/>
      <w:headerReference w:type="first" r:id="rId14"/>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29D6" w14:textId="77777777" w:rsidR="005F41EA" w:rsidRDefault="005F41EA" w:rsidP="00D167BF">
      <w:pPr>
        <w:spacing w:after="0" w:line="240" w:lineRule="auto"/>
      </w:pPr>
      <w:r>
        <w:separator/>
      </w:r>
    </w:p>
  </w:endnote>
  <w:endnote w:type="continuationSeparator" w:id="0">
    <w:p w14:paraId="58E2F2F4" w14:textId="77777777" w:rsidR="005F41EA" w:rsidRDefault="005F41EA"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DC9A" w14:textId="77777777" w:rsidR="005F41EA" w:rsidRDefault="005F41EA" w:rsidP="00D167BF">
      <w:pPr>
        <w:spacing w:after="0" w:line="240" w:lineRule="auto"/>
      </w:pPr>
      <w:r>
        <w:separator/>
      </w:r>
    </w:p>
  </w:footnote>
  <w:footnote w:type="continuationSeparator" w:id="0">
    <w:p w14:paraId="00A5ADE6" w14:textId="77777777" w:rsidR="005F41EA" w:rsidRDefault="005F41EA"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F5B2" w14:textId="77777777" w:rsidR="00B97B79" w:rsidRDefault="00B97B79">
    <w:pPr>
      <w:pStyle w:val="Header"/>
    </w:pPr>
  </w:p>
  <w:p w14:paraId="65F76FF9" w14:textId="5F4926E8" w:rsidR="00431BA8" w:rsidRDefault="000530F1">
    <w:pPr>
      <w:pStyle w:val="Header"/>
    </w:pPr>
    <w:r>
      <w:rPr>
        <w:noProof/>
      </w:rPr>
      <w:drawing>
        <wp:anchor distT="0" distB="0" distL="114300" distR="114300" simplePos="0" relativeHeight="251656704" behindDoc="0" locked="0" layoutInCell="1" allowOverlap="1" wp14:anchorId="1A33FCF1" wp14:editId="14667770">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F9A24" w14:textId="0F9480B9" w:rsidR="00431BA8" w:rsidRDefault="008536A4">
    <w:pPr>
      <w:pStyle w:val="Header"/>
    </w:pPr>
    <w:r>
      <w:t>2024-28 Demonstrated Effectiveness Recording Transcript</w:t>
    </w:r>
  </w:p>
  <w:p w14:paraId="00194C7F" w14:textId="77777777" w:rsidR="005877F1" w:rsidRDefault="005877F1">
    <w:pPr>
      <w:pStyle w:val="Header"/>
    </w:pPr>
  </w:p>
  <w:p w14:paraId="65984973" w14:textId="4DA41A3C" w:rsidR="00431BA8" w:rsidRDefault="000530F1">
    <w:pPr>
      <w:pStyle w:val="Header"/>
    </w:pPr>
    <w:r>
      <w:rPr>
        <w:noProof/>
      </w:rPr>
      <mc:AlternateContent>
        <mc:Choice Requires="wps">
          <w:drawing>
            <wp:anchor distT="4294967295" distB="4294967295" distL="114300" distR="114300" simplePos="0" relativeHeight="251657728" behindDoc="0" locked="0" layoutInCell="1" allowOverlap="1" wp14:anchorId="577B668B" wp14:editId="3A00BF68">
              <wp:simplePos x="0" y="0"/>
              <wp:positionH relativeFrom="column">
                <wp:posOffset>0</wp:posOffset>
              </wp:positionH>
              <wp:positionV relativeFrom="paragraph">
                <wp:posOffset>32384</wp:posOffset>
              </wp:positionV>
              <wp:extent cx="688975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1A0FF6" id="Straight Connector 2"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2073" w14:textId="1B92705D" w:rsidR="00D167BF" w:rsidRDefault="000530F1">
    <w:pPr>
      <w:pStyle w:val="Header"/>
    </w:pPr>
    <w:r>
      <w:rPr>
        <w:noProof/>
      </w:rPr>
      <w:drawing>
        <wp:anchor distT="0" distB="0" distL="114300" distR="114300" simplePos="0" relativeHeight="251658752" behindDoc="1" locked="0" layoutInCell="1" allowOverlap="1" wp14:anchorId="3419B6CB" wp14:editId="3AEAFDA1">
          <wp:simplePos x="0" y="0"/>
          <wp:positionH relativeFrom="column">
            <wp:posOffset>-469265</wp:posOffset>
          </wp:positionH>
          <wp:positionV relativeFrom="paragraph">
            <wp:posOffset>0</wp:posOffset>
          </wp:positionV>
          <wp:extent cx="7809230" cy="1610360"/>
          <wp:effectExtent l="0" t="0" r="0" b="0"/>
          <wp:wrapNone/>
          <wp:docPr id="6"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E9"/>
    <w:multiLevelType w:val="hybridMultilevel"/>
    <w:tmpl w:val="59B02C50"/>
    <w:lvl w:ilvl="0" w:tplc="5F7A5E42">
      <w:start w:val="1"/>
      <w:numFmt w:val="decimal"/>
      <w:lvlText w:val="%1."/>
      <w:lvlJc w:val="left"/>
      <w:pPr>
        <w:tabs>
          <w:tab w:val="num" w:pos="720"/>
        </w:tabs>
        <w:ind w:left="720" w:hanging="360"/>
      </w:pPr>
    </w:lvl>
    <w:lvl w:ilvl="1" w:tplc="64161D18" w:tentative="1">
      <w:start w:val="1"/>
      <w:numFmt w:val="decimal"/>
      <w:lvlText w:val="%2."/>
      <w:lvlJc w:val="left"/>
      <w:pPr>
        <w:tabs>
          <w:tab w:val="num" w:pos="1440"/>
        </w:tabs>
        <w:ind w:left="1440" w:hanging="360"/>
      </w:pPr>
    </w:lvl>
    <w:lvl w:ilvl="2" w:tplc="639277DA" w:tentative="1">
      <w:start w:val="1"/>
      <w:numFmt w:val="decimal"/>
      <w:lvlText w:val="%3."/>
      <w:lvlJc w:val="left"/>
      <w:pPr>
        <w:tabs>
          <w:tab w:val="num" w:pos="2160"/>
        </w:tabs>
        <w:ind w:left="2160" w:hanging="360"/>
      </w:pPr>
    </w:lvl>
    <w:lvl w:ilvl="3" w:tplc="82EC3FE0" w:tentative="1">
      <w:start w:val="1"/>
      <w:numFmt w:val="decimal"/>
      <w:lvlText w:val="%4."/>
      <w:lvlJc w:val="left"/>
      <w:pPr>
        <w:tabs>
          <w:tab w:val="num" w:pos="2880"/>
        </w:tabs>
        <w:ind w:left="2880" w:hanging="360"/>
      </w:pPr>
    </w:lvl>
    <w:lvl w:ilvl="4" w:tplc="00A065A2" w:tentative="1">
      <w:start w:val="1"/>
      <w:numFmt w:val="decimal"/>
      <w:lvlText w:val="%5."/>
      <w:lvlJc w:val="left"/>
      <w:pPr>
        <w:tabs>
          <w:tab w:val="num" w:pos="3600"/>
        </w:tabs>
        <w:ind w:left="3600" w:hanging="360"/>
      </w:pPr>
    </w:lvl>
    <w:lvl w:ilvl="5" w:tplc="965CEF74" w:tentative="1">
      <w:start w:val="1"/>
      <w:numFmt w:val="decimal"/>
      <w:lvlText w:val="%6."/>
      <w:lvlJc w:val="left"/>
      <w:pPr>
        <w:tabs>
          <w:tab w:val="num" w:pos="4320"/>
        </w:tabs>
        <w:ind w:left="4320" w:hanging="360"/>
      </w:pPr>
    </w:lvl>
    <w:lvl w:ilvl="6" w:tplc="C3D2E98A" w:tentative="1">
      <w:start w:val="1"/>
      <w:numFmt w:val="decimal"/>
      <w:lvlText w:val="%7."/>
      <w:lvlJc w:val="left"/>
      <w:pPr>
        <w:tabs>
          <w:tab w:val="num" w:pos="5040"/>
        </w:tabs>
        <w:ind w:left="5040" w:hanging="360"/>
      </w:pPr>
    </w:lvl>
    <w:lvl w:ilvl="7" w:tplc="D7E2BA06" w:tentative="1">
      <w:start w:val="1"/>
      <w:numFmt w:val="decimal"/>
      <w:lvlText w:val="%8."/>
      <w:lvlJc w:val="left"/>
      <w:pPr>
        <w:tabs>
          <w:tab w:val="num" w:pos="5760"/>
        </w:tabs>
        <w:ind w:left="5760" w:hanging="360"/>
      </w:pPr>
    </w:lvl>
    <w:lvl w:ilvl="8" w:tplc="FC946DC0" w:tentative="1">
      <w:start w:val="1"/>
      <w:numFmt w:val="decimal"/>
      <w:lvlText w:val="%9."/>
      <w:lvlJc w:val="left"/>
      <w:pPr>
        <w:tabs>
          <w:tab w:val="num" w:pos="6480"/>
        </w:tabs>
        <w:ind w:left="6480" w:hanging="360"/>
      </w:pPr>
    </w:lvl>
  </w:abstractNum>
  <w:abstractNum w:abstractNumId="1" w15:restartNumberingAfterBreak="0">
    <w:nsid w:val="18727C1B"/>
    <w:multiLevelType w:val="hybridMultilevel"/>
    <w:tmpl w:val="E5B84136"/>
    <w:lvl w:ilvl="0" w:tplc="0B8E972A">
      <w:start w:val="1"/>
      <w:numFmt w:val="decimal"/>
      <w:lvlText w:val="%1."/>
      <w:lvlJc w:val="left"/>
      <w:pPr>
        <w:tabs>
          <w:tab w:val="num" w:pos="720"/>
        </w:tabs>
        <w:ind w:left="720" w:hanging="360"/>
      </w:pPr>
    </w:lvl>
    <w:lvl w:ilvl="1" w:tplc="B54241DE">
      <w:numFmt w:val="bullet"/>
      <w:lvlText w:val="•"/>
      <w:lvlJc w:val="left"/>
      <w:pPr>
        <w:tabs>
          <w:tab w:val="num" w:pos="1440"/>
        </w:tabs>
        <w:ind w:left="1440" w:hanging="360"/>
      </w:pPr>
      <w:rPr>
        <w:rFonts w:ascii="Arial" w:hAnsi="Arial" w:hint="default"/>
      </w:rPr>
    </w:lvl>
    <w:lvl w:ilvl="2" w:tplc="3A4268C6" w:tentative="1">
      <w:start w:val="1"/>
      <w:numFmt w:val="decimal"/>
      <w:lvlText w:val="%3."/>
      <w:lvlJc w:val="left"/>
      <w:pPr>
        <w:tabs>
          <w:tab w:val="num" w:pos="2160"/>
        </w:tabs>
        <w:ind w:left="2160" w:hanging="360"/>
      </w:pPr>
    </w:lvl>
    <w:lvl w:ilvl="3" w:tplc="D264CEB0" w:tentative="1">
      <w:start w:val="1"/>
      <w:numFmt w:val="decimal"/>
      <w:lvlText w:val="%4."/>
      <w:lvlJc w:val="left"/>
      <w:pPr>
        <w:tabs>
          <w:tab w:val="num" w:pos="2880"/>
        </w:tabs>
        <w:ind w:left="2880" w:hanging="360"/>
      </w:pPr>
    </w:lvl>
    <w:lvl w:ilvl="4" w:tplc="BA54BC5C" w:tentative="1">
      <w:start w:val="1"/>
      <w:numFmt w:val="decimal"/>
      <w:lvlText w:val="%5."/>
      <w:lvlJc w:val="left"/>
      <w:pPr>
        <w:tabs>
          <w:tab w:val="num" w:pos="3600"/>
        </w:tabs>
        <w:ind w:left="3600" w:hanging="360"/>
      </w:pPr>
    </w:lvl>
    <w:lvl w:ilvl="5" w:tplc="8946CF48" w:tentative="1">
      <w:start w:val="1"/>
      <w:numFmt w:val="decimal"/>
      <w:lvlText w:val="%6."/>
      <w:lvlJc w:val="left"/>
      <w:pPr>
        <w:tabs>
          <w:tab w:val="num" w:pos="4320"/>
        </w:tabs>
        <w:ind w:left="4320" w:hanging="360"/>
      </w:pPr>
    </w:lvl>
    <w:lvl w:ilvl="6" w:tplc="B1662814" w:tentative="1">
      <w:start w:val="1"/>
      <w:numFmt w:val="decimal"/>
      <w:lvlText w:val="%7."/>
      <w:lvlJc w:val="left"/>
      <w:pPr>
        <w:tabs>
          <w:tab w:val="num" w:pos="5040"/>
        </w:tabs>
        <w:ind w:left="5040" w:hanging="360"/>
      </w:pPr>
    </w:lvl>
    <w:lvl w:ilvl="7" w:tplc="ED486D92" w:tentative="1">
      <w:start w:val="1"/>
      <w:numFmt w:val="decimal"/>
      <w:lvlText w:val="%8."/>
      <w:lvlJc w:val="left"/>
      <w:pPr>
        <w:tabs>
          <w:tab w:val="num" w:pos="5760"/>
        </w:tabs>
        <w:ind w:left="5760" w:hanging="360"/>
      </w:pPr>
    </w:lvl>
    <w:lvl w:ilvl="8" w:tplc="F8020882" w:tentative="1">
      <w:start w:val="1"/>
      <w:numFmt w:val="decimal"/>
      <w:lvlText w:val="%9."/>
      <w:lvlJc w:val="left"/>
      <w:pPr>
        <w:tabs>
          <w:tab w:val="num" w:pos="6480"/>
        </w:tabs>
        <w:ind w:left="6480" w:hanging="360"/>
      </w:pPr>
    </w:lvl>
  </w:abstractNum>
  <w:abstractNum w:abstractNumId="2" w15:restartNumberingAfterBreak="0">
    <w:nsid w:val="1D045ACD"/>
    <w:multiLevelType w:val="hybridMultilevel"/>
    <w:tmpl w:val="774E74E0"/>
    <w:lvl w:ilvl="0" w:tplc="1AF21572">
      <w:start w:val="1"/>
      <w:numFmt w:val="decimal"/>
      <w:lvlText w:val="%1."/>
      <w:lvlJc w:val="left"/>
      <w:pPr>
        <w:tabs>
          <w:tab w:val="num" w:pos="720"/>
        </w:tabs>
        <w:ind w:left="720" w:hanging="360"/>
      </w:pPr>
    </w:lvl>
    <w:lvl w:ilvl="1" w:tplc="0240B136" w:tentative="1">
      <w:start w:val="1"/>
      <w:numFmt w:val="decimal"/>
      <w:lvlText w:val="%2."/>
      <w:lvlJc w:val="left"/>
      <w:pPr>
        <w:tabs>
          <w:tab w:val="num" w:pos="1440"/>
        </w:tabs>
        <w:ind w:left="1440" w:hanging="360"/>
      </w:pPr>
    </w:lvl>
    <w:lvl w:ilvl="2" w:tplc="0A20BE7A" w:tentative="1">
      <w:start w:val="1"/>
      <w:numFmt w:val="decimal"/>
      <w:lvlText w:val="%3."/>
      <w:lvlJc w:val="left"/>
      <w:pPr>
        <w:tabs>
          <w:tab w:val="num" w:pos="2160"/>
        </w:tabs>
        <w:ind w:left="2160" w:hanging="360"/>
      </w:pPr>
    </w:lvl>
    <w:lvl w:ilvl="3" w:tplc="002289AA" w:tentative="1">
      <w:start w:val="1"/>
      <w:numFmt w:val="decimal"/>
      <w:lvlText w:val="%4."/>
      <w:lvlJc w:val="left"/>
      <w:pPr>
        <w:tabs>
          <w:tab w:val="num" w:pos="2880"/>
        </w:tabs>
        <w:ind w:left="2880" w:hanging="360"/>
      </w:pPr>
    </w:lvl>
    <w:lvl w:ilvl="4" w:tplc="E976E3D2" w:tentative="1">
      <w:start w:val="1"/>
      <w:numFmt w:val="decimal"/>
      <w:lvlText w:val="%5."/>
      <w:lvlJc w:val="left"/>
      <w:pPr>
        <w:tabs>
          <w:tab w:val="num" w:pos="3600"/>
        </w:tabs>
        <w:ind w:left="3600" w:hanging="360"/>
      </w:pPr>
    </w:lvl>
    <w:lvl w:ilvl="5" w:tplc="885491D8" w:tentative="1">
      <w:start w:val="1"/>
      <w:numFmt w:val="decimal"/>
      <w:lvlText w:val="%6."/>
      <w:lvlJc w:val="left"/>
      <w:pPr>
        <w:tabs>
          <w:tab w:val="num" w:pos="4320"/>
        </w:tabs>
        <w:ind w:left="4320" w:hanging="360"/>
      </w:pPr>
    </w:lvl>
    <w:lvl w:ilvl="6" w:tplc="B58081E0" w:tentative="1">
      <w:start w:val="1"/>
      <w:numFmt w:val="decimal"/>
      <w:lvlText w:val="%7."/>
      <w:lvlJc w:val="left"/>
      <w:pPr>
        <w:tabs>
          <w:tab w:val="num" w:pos="5040"/>
        </w:tabs>
        <w:ind w:left="5040" w:hanging="360"/>
      </w:pPr>
    </w:lvl>
    <w:lvl w:ilvl="7" w:tplc="D3DADA1A" w:tentative="1">
      <w:start w:val="1"/>
      <w:numFmt w:val="decimal"/>
      <w:lvlText w:val="%8."/>
      <w:lvlJc w:val="left"/>
      <w:pPr>
        <w:tabs>
          <w:tab w:val="num" w:pos="5760"/>
        </w:tabs>
        <w:ind w:left="5760" w:hanging="360"/>
      </w:pPr>
    </w:lvl>
    <w:lvl w:ilvl="8" w:tplc="AA843CAC" w:tentative="1">
      <w:start w:val="1"/>
      <w:numFmt w:val="decimal"/>
      <w:lvlText w:val="%9."/>
      <w:lvlJc w:val="left"/>
      <w:pPr>
        <w:tabs>
          <w:tab w:val="num" w:pos="6480"/>
        </w:tabs>
        <w:ind w:left="6480" w:hanging="360"/>
      </w:pPr>
    </w:lvl>
  </w:abstractNum>
  <w:abstractNum w:abstractNumId="3" w15:restartNumberingAfterBreak="0">
    <w:nsid w:val="55A90051"/>
    <w:multiLevelType w:val="hybridMultilevel"/>
    <w:tmpl w:val="847C0D18"/>
    <w:lvl w:ilvl="0" w:tplc="91669B42">
      <w:start w:val="1"/>
      <w:numFmt w:val="decimal"/>
      <w:lvlText w:val="%1."/>
      <w:lvlJc w:val="left"/>
      <w:pPr>
        <w:tabs>
          <w:tab w:val="num" w:pos="720"/>
        </w:tabs>
        <w:ind w:left="720" w:hanging="360"/>
      </w:pPr>
    </w:lvl>
    <w:lvl w:ilvl="1" w:tplc="AF840F8C" w:tentative="1">
      <w:start w:val="1"/>
      <w:numFmt w:val="decimal"/>
      <w:lvlText w:val="%2."/>
      <w:lvlJc w:val="left"/>
      <w:pPr>
        <w:tabs>
          <w:tab w:val="num" w:pos="1440"/>
        </w:tabs>
        <w:ind w:left="1440" w:hanging="360"/>
      </w:pPr>
    </w:lvl>
    <w:lvl w:ilvl="2" w:tplc="E2C07E32" w:tentative="1">
      <w:start w:val="1"/>
      <w:numFmt w:val="decimal"/>
      <w:lvlText w:val="%3."/>
      <w:lvlJc w:val="left"/>
      <w:pPr>
        <w:tabs>
          <w:tab w:val="num" w:pos="2160"/>
        </w:tabs>
        <w:ind w:left="2160" w:hanging="360"/>
      </w:pPr>
    </w:lvl>
    <w:lvl w:ilvl="3" w:tplc="B8E00412" w:tentative="1">
      <w:start w:val="1"/>
      <w:numFmt w:val="decimal"/>
      <w:lvlText w:val="%4."/>
      <w:lvlJc w:val="left"/>
      <w:pPr>
        <w:tabs>
          <w:tab w:val="num" w:pos="2880"/>
        </w:tabs>
        <w:ind w:left="2880" w:hanging="360"/>
      </w:pPr>
    </w:lvl>
    <w:lvl w:ilvl="4" w:tplc="6DC80F9A" w:tentative="1">
      <w:start w:val="1"/>
      <w:numFmt w:val="decimal"/>
      <w:lvlText w:val="%5."/>
      <w:lvlJc w:val="left"/>
      <w:pPr>
        <w:tabs>
          <w:tab w:val="num" w:pos="3600"/>
        </w:tabs>
        <w:ind w:left="3600" w:hanging="360"/>
      </w:pPr>
    </w:lvl>
    <w:lvl w:ilvl="5" w:tplc="0316AC36" w:tentative="1">
      <w:start w:val="1"/>
      <w:numFmt w:val="decimal"/>
      <w:lvlText w:val="%6."/>
      <w:lvlJc w:val="left"/>
      <w:pPr>
        <w:tabs>
          <w:tab w:val="num" w:pos="4320"/>
        </w:tabs>
        <w:ind w:left="4320" w:hanging="360"/>
      </w:pPr>
    </w:lvl>
    <w:lvl w:ilvl="6" w:tplc="0402F9F8" w:tentative="1">
      <w:start w:val="1"/>
      <w:numFmt w:val="decimal"/>
      <w:lvlText w:val="%7."/>
      <w:lvlJc w:val="left"/>
      <w:pPr>
        <w:tabs>
          <w:tab w:val="num" w:pos="5040"/>
        </w:tabs>
        <w:ind w:left="5040" w:hanging="360"/>
      </w:pPr>
    </w:lvl>
    <w:lvl w:ilvl="7" w:tplc="601EBC52" w:tentative="1">
      <w:start w:val="1"/>
      <w:numFmt w:val="decimal"/>
      <w:lvlText w:val="%8."/>
      <w:lvlJc w:val="left"/>
      <w:pPr>
        <w:tabs>
          <w:tab w:val="num" w:pos="5760"/>
        </w:tabs>
        <w:ind w:left="5760" w:hanging="360"/>
      </w:pPr>
    </w:lvl>
    <w:lvl w:ilvl="8" w:tplc="259A00E2" w:tentative="1">
      <w:start w:val="1"/>
      <w:numFmt w:val="decimal"/>
      <w:lvlText w:val="%9."/>
      <w:lvlJc w:val="left"/>
      <w:pPr>
        <w:tabs>
          <w:tab w:val="num" w:pos="6480"/>
        </w:tabs>
        <w:ind w:left="6480" w:hanging="360"/>
      </w:pPr>
    </w:lvl>
  </w:abstractNum>
  <w:num w:numId="1" w16cid:durableId="1424300850">
    <w:abstractNumId w:val="1"/>
  </w:num>
  <w:num w:numId="2" w16cid:durableId="2121218676">
    <w:abstractNumId w:val="0"/>
  </w:num>
  <w:num w:numId="3" w16cid:durableId="370688296">
    <w:abstractNumId w:val="3"/>
  </w:num>
  <w:num w:numId="4" w16cid:durableId="237136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59E"/>
    <w:rsid w:val="00052B92"/>
    <w:rsid w:val="000530F1"/>
    <w:rsid w:val="000F6114"/>
    <w:rsid w:val="00112958"/>
    <w:rsid w:val="0013025E"/>
    <w:rsid w:val="001E41BB"/>
    <w:rsid w:val="002D3E62"/>
    <w:rsid w:val="00431BA8"/>
    <w:rsid w:val="004433C7"/>
    <w:rsid w:val="004752A9"/>
    <w:rsid w:val="004E244C"/>
    <w:rsid w:val="00501B31"/>
    <w:rsid w:val="0050220A"/>
    <w:rsid w:val="00562C9C"/>
    <w:rsid w:val="005877F1"/>
    <w:rsid w:val="005F41EA"/>
    <w:rsid w:val="0060452F"/>
    <w:rsid w:val="0064241A"/>
    <w:rsid w:val="006879FC"/>
    <w:rsid w:val="0069309A"/>
    <w:rsid w:val="006A3AD3"/>
    <w:rsid w:val="0070646C"/>
    <w:rsid w:val="00713831"/>
    <w:rsid w:val="007866B4"/>
    <w:rsid w:val="007F37E8"/>
    <w:rsid w:val="00805867"/>
    <w:rsid w:val="008536A4"/>
    <w:rsid w:val="0086048A"/>
    <w:rsid w:val="0086052E"/>
    <w:rsid w:val="00863B2A"/>
    <w:rsid w:val="00996ADB"/>
    <w:rsid w:val="00A15A0B"/>
    <w:rsid w:val="00A37AE5"/>
    <w:rsid w:val="00AA4C44"/>
    <w:rsid w:val="00AF1D70"/>
    <w:rsid w:val="00B123F2"/>
    <w:rsid w:val="00B13F91"/>
    <w:rsid w:val="00B97B79"/>
    <w:rsid w:val="00BD2C14"/>
    <w:rsid w:val="00C426F9"/>
    <w:rsid w:val="00C627F0"/>
    <w:rsid w:val="00C93292"/>
    <w:rsid w:val="00CA0517"/>
    <w:rsid w:val="00CD18A2"/>
    <w:rsid w:val="00D167BF"/>
    <w:rsid w:val="00D27ABA"/>
    <w:rsid w:val="00D41CDA"/>
    <w:rsid w:val="00D55DD1"/>
    <w:rsid w:val="00DE123D"/>
    <w:rsid w:val="00DE7B5D"/>
    <w:rsid w:val="00E8179F"/>
    <w:rsid w:val="00F8163B"/>
    <w:rsid w:val="00F860D7"/>
    <w:rsid w:val="00F952CB"/>
    <w:rsid w:val="00FA2480"/>
    <w:rsid w:val="00FD703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A256"/>
  <w15:chartTrackingRefBased/>
  <w15:docId w15:val="{173B2465-B179-410E-AFB7-2BF15AE2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ListParagraph">
    <w:name w:val="List Paragraph"/>
    <w:basedOn w:val="Normal"/>
    <w:uiPriority w:val="34"/>
    <w:rsid w:val="007F37E8"/>
    <w:pPr>
      <w:ind w:left="720"/>
    </w:pPr>
  </w:style>
  <w:style w:type="character" w:styleId="Hyperlink">
    <w:name w:val="Hyperlink"/>
    <w:basedOn w:val="DefaultParagraphFont"/>
    <w:uiPriority w:val="99"/>
    <w:unhideWhenUsed/>
    <w:rsid w:val="00B123F2"/>
    <w:rPr>
      <w:color w:val="467886" w:themeColor="hyperlink"/>
      <w:u w:val="single"/>
    </w:rPr>
  </w:style>
  <w:style w:type="character" w:styleId="UnresolvedMention">
    <w:name w:val="Unresolved Mention"/>
    <w:basedOn w:val="DefaultParagraphFont"/>
    <w:uiPriority w:val="99"/>
    <w:semiHidden/>
    <w:unhideWhenUsed/>
    <w:rsid w:val="00B1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073508576">
      <w:bodyDiv w:val="1"/>
      <w:marLeft w:val="0"/>
      <w:marRight w:val="0"/>
      <w:marTop w:val="0"/>
      <w:marBottom w:val="0"/>
      <w:divBdr>
        <w:top w:val="none" w:sz="0" w:space="0" w:color="auto"/>
        <w:left w:val="none" w:sz="0" w:space="0" w:color="auto"/>
        <w:bottom w:val="none" w:sz="0" w:space="0" w:color="auto"/>
        <w:right w:val="none" w:sz="0" w:space="0" w:color="auto"/>
      </w:divBdr>
      <w:divsChild>
        <w:div w:id="1171675858">
          <w:marLeft w:val="720"/>
          <w:marRight w:val="0"/>
          <w:marTop w:val="200"/>
          <w:marBottom w:val="0"/>
          <w:divBdr>
            <w:top w:val="none" w:sz="0" w:space="0" w:color="auto"/>
            <w:left w:val="none" w:sz="0" w:space="0" w:color="auto"/>
            <w:bottom w:val="none" w:sz="0" w:space="0" w:color="auto"/>
            <w:right w:val="none" w:sz="0" w:space="0" w:color="auto"/>
          </w:divBdr>
        </w:div>
      </w:divsChild>
    </w:div>
    <w:div w:id="1430541231">
      <w:bodyDiv w:val="1"/>
      <w:marLeft w:val="0"/>
      <w:marRight w:val="0"/>
      <w:marTop w:val="0"/>
      <w:marBottom w:val="0"/>
      <w:divBdr>
        <w:top w:val="none" w:sz="0" w:space="0" w:color="auto"/>
        <w:left w:val="none" w:sz="0" w:space="0" w:color="auto"/>
        <w:bottom w:val="none" w:sz="0" w:space="0" w:color="auto"/>
        <w:right w:val="none" w:sz="0" w:space="0" w:color="auto"/>
      </w:divBdr>
      <w:divsChild>
        <w:div w:id="420612115">
          <w:marLeft w:val="720"/>
          <w:marRight w:val="0"/>
          <w:marTop w:val="200"/>
          <w:marBottom w:val="0"/>
          <w:divBdr>
            <w:top w:val="none" w:sz="0" w:space="0" w:color="auto"/>
            <w:left w:val="none" w:sz="0" w:space="0" w:color="auto"/>
            <w:bottom w:val="none" w:sz="0" w:space="0" w:color="auto"/>
            <w:right w:val="none" w:sz="0" w:space="0" w:color="auto"/>
          </w:divBdr>
        </w:div>
        <w:div w:id="851723181">
          <w:marLeft w:val="1080"/>
          <w:marRight w:val="0"/>
          <w:marTop w:val="100"/>
          <w:marBottom w:val="0"/>
          <w:divBdr>
            <w:top w:val="none" w:sz="0" w:space="0" w:color="auto"/>
            <w:left w:val="none" w:sz="0" w:space="0" w:color="auto"/>
            <w:bottom w:val="none" w:sz="0" w:space="0" w:color="auto"/>
            <w:right w:val="none" w:sz="0" w:space="0" w:color="auto"/>
          </w:divBdr>
        </w:div>
      </w:divsChild>
    </w:div>
    <w:div w:id="1524974447">
      <w:bodyDiv w:val="1"/>
      <w:marLeft w:val="0"/>
      <w:marRight w:val="0"/>
      <w:marTop w:val="0"/>
      <w:marBottom w:val="0"/>
      <w:divBdr>
        <w:top w:val="none" w:sz="0" w:space="0" w:color="auto"/>
        <w:left w:val="none" w:sz="0" w:space="0" w:color="auto"/>
        <w:bottom w:val="none" w:sz="0" w:space="0" w:color="auto"/>
        <w:right w:val="none" w:sz="0" w:space="0" w:color="auto"/>
      </w:divBdr>
      <w:divsChild>
        <w:div w:id="1529565632">
          <w:marLeft w:val="720"/>
          <w:marRight w:val="0"/>
          <w:marTop w:val="200"/>
          <w:marBottom w:val="0"/>
          <w:divBdr>
            <w:top w:val="none" w:sz="0" w:space="0" w:color="auto"/>
            <w:left w:val="none" w:sz="0" w:space="0" w:color="auto"/>
            <w:bottom w:val="none" w:sz="0" w:space="0" w:color="auto"/>
            <w:right w:val="none" w:sz="0" w:space="0" w:color="auto"/>
          </w:divBdr>
        </w:div>
      </w:divsChild>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5573716">
      <w:bodyDiv w:val="1"/>
      <w:marLeft w:val="0"/>
      <w:marRight w:val="0"/>
      <w:marTop w:val="0"/>
      <w:marBottom w:val="0"/>
      <w:divBdr>
        <w:top w:val="none" w:sz="0" w:space="0" w:color="auto"/>
        <w:left w:val="none" w:sz="0" w:space="0" w:color="auto"/>
        <w:bottom w:val="none" w:sz="0" w:space="0" w:color="auto"/>
        <w:right w:val="none" w:sz="0" w:space="0" w:color="auto"/>
      </w:divBdr>
      <w:divsChild>
        <w:div w:id="1334987520">
          <w:marLeft w:val="720"/>
          <w:marRight w:val="0"/>
          <w:marTop w:val="200"/>
          <w:marBottom w:val="0"/>
          <w:divBdr>
            <w:top w:val="none" w:sz="0" w:space="0" w:color="auto"/>
            <w:left w:val="none" w:sz="0" w:space="0" w:color="auto"/>
            <w:bottom w:val="none" w:sz="0" w:space="0" w:color="auto"/>
            <w:right w:val="none" w:sz="0" w:space="0" w:color="auto"/>
          </w:divBdr>
        </w:div>
      </w:divsChild>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spreadsheets/d/1mn8SasJQ-O08X6-TusU-88AUoA2BpB33ERR47AfNnGk/edit?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cdeadult/prospectivegrant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customXml/itemProps2.xml><?xml version="1.0" encoding="utf-8"?>
<ds:datastoreItem xmlns:ds="http://schemas.openxmlformats.org/officeDocument/2006/customXml" ds:itemID="{EC164681-23EC-49BC-BCC6-9CF827FA9D3A}">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c8edfed-d806-47ac-bfab-e32cf4eeeec1"/>
    <ds:schemaRef ds:uri="82f6c701-f2c4-4e85-a209-cb95f0e7a9b6"/>
    <ds:schemaRef ds:uri="http://purl.org/dc/terms/"/>
  </ds:schemaRefs>
</ds:datastoreItem>
</file>

<file path=customXml/itemProps3.xml><?xml version="1.0" encoding="utf-8"?>
<ds:datastoreItem xmlns:ds="http://schemas.openxmlformats.org/officeDocument/2006/customXml" ds:itemID="{E144B095-780F-43F1-8435-6A1DBC44982C}">
  <ds:schemaRefs>
    <ds:schemaRef ds:uri="http://schemas.microsoft.com/sharepoint/v3/contenttype/forms"/>
  </ds:schemaRefs>
</ds:datastoreItem>
</file>

<file path=customXml/itemProps4.xml><?xml version="1.0" encoding="utf-8"?>
<ds:datastoreItem xmlns:ds="http://schemas.openxmlformats.org/officeDocument/2006/customXml" ds:itemID="{B1392C77-A92C-4830-9A63-C7AEDE43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3</cp:revision>
  <dcterms:created xsi:type="dcterms:W3CDTF">2024-03-06T15:00:00Z</dcterms:created>
  <dcterms:modified xsi:type="dcterms:W3CDTF">2024-03-06T15:01:00Z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ies>
</file>